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3DA42" w14:textId="3F7BF317" w:rsidR="000247E4" w:rsidRDefault="00022D1C">
      <w:pPr>
        <w:pStyle w:val="BodyText"/>
        <w:spacing w:before="81"/>
      </w:pPr>
      <w:r>
        <w:t>Property</w:t>
      </w:r>
      <w:r w:rsidR="00790C0C">
        <w:t xml:space="preserve"> reference:</w:t>
      </w:r>
      <w:r>
        <w:t xml:space="preserve"> </w:t>
      </w:r>
      <w:r>
        <w:fldChar w:fldCharType="begin"/>
      </w:r>
      <w:r>
        <w:instrText xml:space="preserve"> MERGEFIELD "Property_Reference" </w:instrText>
      </w:r>
      <w:r>
        <w:fldChar w:fldCharType="separate"/>
      </w:r>
      <w:r>
        <w:fldChar w:fldCharType="end"/>
      </w:r>
    </w:p>
    <w:p w14:paraId="08C459D8" w14:textId="3A92B99D" w:rsidR="00790C0C" w:rsidRDefault="00790C0C">
      <w:pPr>
        <w:pStyle w:val="BodyText"/>
        <w:spacing w:before="81"/>
      </w:pPr>
      <w:r>
        <w:t xml:space="preserve">Date: </w:t>
      </w:r>
      <w:r w:rsidR="00B14F63">
        <w:t>21 August</w:t>
      </w:r>
      <w:r>
        <w:t xml:space="preserve"> 2024</w:t>
      </w:r>
    </w:p>
    <w:p w14:paraId="2FC7907D" w14:textId="77777777" w:rsidR="00790C0C" w:rsidRDefault="00790C0C">
      <w:pPr>
        <w:pStyle w:val="BodyText"/>
        <w:ind w:left="0"/>
      </w:pPr>
    </w:p>
    <w:p w14:paraId="6DBC24C8" w14:textId="77777777" w:rsidR="00790C0C" w:rsidRDefault="00790C0C" w:rsidP="00790C0C">
      <w:pPr>
        <w:pStyle w:val="BodyText"/>
        <w:ind w:left="142"/>
        <w:rPr>
          <w:sz w:val="24"/>
        </w:rPr>
      </w:pPr>
    </w:p>
    <w:p w14:paraId="0AB3DA45" w14:textId="77777777" w:rsidR="000247E4" w:rsidRDefault="000247E4">
      <w:pPr>
        <w:pStyle w:val="BodyText"/>
        <w:ind w:left="0"/>
        <w:rPr>
          <w:sz w:val="24"/>
        </w:rPr>
      </w:pPr>
    </w:p>
    <w:p w14:paraId="0AB3DA46" w14:textId="77777777" w:rsidR="000247E4" w:rsidRDefault="000247E4">
      <w:pPr>
        <w:pStyle w:val="BodyText"/>
        <w:ind w:left="0"/>
        <w:rPr>
          <w:sz w:val="24"/>
        </w:rPr>
      </w:pPr>
    </w:p>
    <w:p w14:paraId="0AB3DA47" w14:textId="77777777" w:rsidR="000247E4" w:rsidRDefault="000247E4">
      <w:pPr>
        <w:pStyle w:val="BodyText"/>
        <w:ind w:left="0"/>
        <w:rPr>
          <w:sz w:val="24"/>
        </w:rPr>
      </w:pPr>
    </w:p>
    <w:p w14:paraId="0AB3DA49" w14:textId="77777777" w:rsidR="000247E4" w:rsidRDefault="000247E4">
      <w:pPr>
        <w:pStyle w:val="BodyText"/>
        <w:ind w:left="0"/>
        <w:rPr>
          <w:sz w:val="27"/>
        </w:rPr>
      </w:pPr>
    </w:p>
    <w:p w14:paraId="77F6A185" w14:textId="3F684D1B" w:rsidR="00022D1C" w:rsidRDefault="00790C0C" w:rsidP="00022D1C">
      <w:pPr>
        <w:pStyle w:val="BodyText"/>
        <w:spacing w:line="278" w:lineRule="auto"/>
        <w:ind w:right="4147"/>
      </w:pPr>
      <w:r>
        <w:t xml:space="preserve">Dear </w:t>
      </w:r>
      <w:r w:rsidR="00022D1C">
        <w:fldChar w:fldCharType="begin"/>
      </w:r>
      <w:r w:rsidR="00022D1C">
        <w:instrText xml:space="preserve"> MERGEFIELD "Correspondence_name" </w:instrText>
      </w:r>
      <w:r w:rsidR="00022D1C">
        <w:fldChar w:fldCharType="separate"/>
      </w:r>
      <w:r w:rsidR="00022D1C">
        <w:fldChar w:fldCharType="end"/>
      </w:r>
    </w:p>
    <w:p w14:paraId="0AB3DA4A" w14:textId="465D57B7" w:rsidR="000247E4" w:rsidRDefault="00790C0C" w:rsidP="00B14F63">
      <w:pPr>
        <w:pStyle w:val="BodyText"/>
        <w:spacing w:line="278" w:lineRule="auto"/>
        <w:ind w:right="1170"/>
      </w:pPr>
      <w:r>
        <w:t>Re:</w:t>
      </w:r>
      <w:r w:rsidR="007B6275">
        <w:t xml:space="preserve"> </w:t>
      </w:r>
      <w:r w:rsidR="00022D1C">
        <w:fldChar w:fldCharType="begin"/>
      </w:r>
      <w:r w:rsidR="00022D1C">
        <w:instrText xml:space="preserve"> MERGEFIELD "Property_Address" </w:instrText>
      </w:r>
      <w:r w:rsidR="00022D1C">
        <w:fldChar w:fldCharType="separate"/>
      </w:r>
      <w:r w:rsidR="00022D1C">
        <w:fldChar w:fldCharType="end"/>
      </w:r>
    </w:p>
    <w:p w14:paraId="0AB3DA4B" w14:textId="695FE9DB" w:rsidR="000247E4" w:rsidRDefault="00790C0C">
      <w:pPr>
        <w:pStyle w:val="Heading1"/>
        <w:spacing w:before="196" w:line="477" w:lineRule="auto"/>
        <w:ind w:right="3495"/>
      </w:pPr>
      <w:r>
        <w:t xml:space="preserve">Notice of intention to enter into long-term agreements </w:t>
      </w:r>
      <w:r w:rsidR="007B6275">
        <w:t>Buildings Insurance</w:t>
      </w:r>
    </w:p>
    <w:p w14:paraId="25CA359A" w14:textId="77777777" w:rsidR="00DC6D4A" w:rsidRDefault="002C497C" w:rsidP="00DC6D4A">
      <w:pPr>
        <w:pStyle w:val="BodyText"/>
        <w:spacing w:before="6"/>
      </w:pPr>
      <w:r>
        <w:t xml:space="preserve">Our Buildings Insurance contract ended in March 2024, and we completed a procurement process to </w:t>
      </w:r>
      <w:proofErr w:type="gramStart"/>
      <w:r>
        <w:t>enter into</w:t>
      </w:r>
      <w:proofErr w:type="gramEnd"/>
      <w:r>
        <w:t xml:space="preserve"> a new contract starting 1</w:t>
      </w:r>
      <w:r w:rsidRPr="002C497C">
        <w:rPr>
          <w:vertAlign w:val="superscript"/>
        </w:rPr>
        <w:t>st</w:t>
      </w:r>
      <w:r>
        <w:t xml:space="preserve"> April 2024.</w:t>
      </w:r>
      <w:r w:rsidR="00DC6D4A">
        <w:t xml:space="preserve"> Due to an administrative error, we did not consult with you on this new contract and therefore did not meet our obligations under Section 20 of the Landlords and Tenants Act. </w:t>
      </w:r>
    </w:p>
    <w:p w14:paraId="4A95BA59" w14:textId="77777777" w:rsidR="00DC6D4A" w:rsidRDefault="00DC6D4A" w:rsidP="00DC6D4A">
      <w:pPr>
        <w:pStyle w:val="BodyText"/>
        <w:spacing w:before="6"/>
      </w:pPr>
    </w:p>
    <w:p w14:paraId="66688F87" w14:textId="4D7FB070" w:rsidR="00DC6D4A" w:rsidRDefault="00DC6D4A" w:rsidP="00DC6D4A">
      <w:pPr>
        <w:pStyle w:val="BodyText"/>
        <w:spacing w:before="6"/>
      </w:pPr>
      <w:r>
        <w:t xml:space="preserve">Under the terms of your lease, </w:t>
      </w:r>
      <w:r w:rsidR="00274D8F">
        <w:t>we</w:t>
      </w:r>
      <w:r w:rsidR="00BB4BEA">
        <w:t xml:space="preserve"> as </w:t>
      </w:r>
      <w:r>
        <w:t xml:space="preserve">your landlord </w:t>
      </w:r>
      <w:r w:rsidR="00BB4BEA">
        <w:t>are</w:t>
      </w:r>
      <w:r>
        <w:t xml:space="preserve"> required to provide a buildings insurance cover </w:t>
      </w:r>
      <w:r w:rsidR="007B6275">
        <w:t xml:space="preserve">to protect your home against risk, and in turn we need to collect the cost of providing this service to ensure </w:t>
      </w:r>
      <w:r w:rsidR="00BB4BEA">
        <w:t xml:space="preserve">we can continue to deliver this service. </w:t>
      </w:r>
    </w:p>
    <w:p w14:paraId="0AB3DA51" w14:textId="65514174" w:rsidR="000247E4" w:rsidRDefault="00DC6D4A">
      <w:pPr>
        <w:pStyle w:val="BodyText"/>
        <w:spacing w:before="192"/>
        <w:ind w:right="113"/>
        <w:jc w:val="both"/>
      </w:pPr>
      <w:r>
        <w:t>To ensure that we can recover the</w:t>
      </w:r>
      <w:r w:rsidR="00B14F0A">
        <w:t xml:space="preserve"> full</w:t>
      </w:r>
      <w:r>
        <w:t xml:space="preserve"> cost of the service provided</w:t>
      </w:r>
      <w:r w:rsidR="00274D8F">
        <w:t xml:space="preserve">, </w:t>
      </w:r>
      <w:r>
        <w:t>we’re applying to the First Tier Tribunal (part of HM Tribunals and Courts Service) for dispensation (to be exempt) from the Section 20 process.</w:t>
      </w:r>
    </w:p>
    <w:p w14:paraId="0AB3DA52" w14:textId="77777777" w:rsidR="000247E4" w:rsidRDefault="00790C0C">
      <w:pPr>
        <w:pStyle w:val="Heading1"/>
        <w:spacing w:before="202"/>
        <w:jc w:val="both"/>
      </w:pPr>
      <w:r>
        <w:t>What is the Section 20 process?</w:t>
      </w:r>
    </w:p>
    <w:p w14:paraId="0AB3DA53" w14:textId="77777777" w:rsidR="000247E4" w:rsidRDefault="00790C0C">
      <w:pPr>
        <w:pStyle w:val="BodyText"/>
        <w:spacing w:before="198" w:line="276" w:lineRule="auto"/>
        <w:ind w:right="262"/>
      </w:pPr>
      <w:r>
        <w:t xml:space="preserve">This is the process we go through before we award any contracts for services or works. We have a video on our website which helps to explain the consultation process: </w:t>
      </w:r>
      <w:hyperlink r:id="rId7">
        <w:r>
          <w:rPr>
            <w:color w:val="0000FF"/>
            <w:u w:val="single" w:color="0000FF"/>
          </w:rPr>
          <w:t>https://www.hyde-housing.co.uk/qualifying-works/</w:t>
        </w:r>
      </w:hyperlink>
    </w:p>
    <w:p w14:paraId="0AB3DA54" w14:textId="77777777" w:rsidR="000247E4" w:rsidRDefault="00790C0C">
      <w:pPr>
        <w:pStyle w:val="Heading1"/>
        <w:spacing w:before="203"/>
        <w:jc w:val="both"/>
      </w:pPr>
      <w:r>
        <w:t>What is dispensation from Section 20?</w:t>
      </w:r>
    </w:p>
    <w:p w14:paraId="0AB3DA55" w14:textId="15E88AE3" w:rsidR="000247E4" w:rsidRDefault="001B461F">
      <w:pPr>
        <w:pStyle w:val="BodyText"/>
        <w:spacing w:before="199"/>
        <w:ind w:right="111"/>
        <w:jc w:val="both"/>
      </w:pPr>
      <w:r>
        <w:t>Where consultation processes have not been followed, we can ask the Tribunal to give us permission to choose suppliers without the normal consultation. The Tribunal</w:t>
      </w:r>
      <w:r>
        <w:rPr>
          <w:spacing w:val="-16"/>
        </w:rPr>
        <w:t xml:space="preserve"> </w:t>
      </w:r>
      <w:r>
        <w:t>reviews</w:t>
      </w:r>
      <w:r>
        <w:rPr>
          <w:spacing w:val="-15"/>
        </w:rPr>
        <w:t xml:space="preserve"> </w:t>
      </w:r>
      <w:r>
        <w:t>our</w:t>
      </w:r>
      <w:r>
        <w:rPr>
          <w:spacing w:val="-14"/>
        </w:rPr>
        <w:t xml:space="preserve"> </w:t>
      </w:r>
      <w:r>
        <w:t>application</w:t>
      </w:r>
      <w:r>
        <w:rPr>
          <w:spacing w:val="-14"/>
        </w:rPr>
        <w:t xml:space="preserve"> </w:t>
      </w:r>
      <w:r>
        <w:t>and</w:t>
      </w:r>
      <w:r>
        <w:rPr>
          <w:spacing w:val="-15"/>
        </w:rPr>
        <w:t xml:space="preserve"> </w:t>
      </w:r>
      <w:r>
        <w:t>if</w:t>
      </w:r>
      <w:r>
        <w:rPr>
          <w:spacing w:val="-16"/>
        </w:rPr>
        <w:t xml:space="preserve"> </w:t>
      </w:r>
      <w:r>
        <w:t>they</w:t>
      </w:r>
      <w:r>
        <w:rPr>
          <w:spacing w:val="-15"/>
        </w:rPr>
        <w:t xml:space="preserve"> </w:t>
      </w:r>
      <w:r>
        <w:t>decide</w:t>
      </w:r>
      <w:r>
        <w:rPr>
          <w:spacing w:val="-17"/>
        </w:rPr>
        <w:t xml:space="preserve"> </w:t>
      </w:r>
      <w:r>
        <w:t>that</w:t>
      </w:r>
      <w:r>
        <w:rPr>
          <w:spacing w:val="-16"/>
        </w:rPr>
        <w:t xml:space="preserve"> </w:t>
      </w:r>
      <w:r>
        <w:t>there</w:t>
      </w:r>
      <w:r>
        <w:rPr>
          <w:spacing w:val="-17"/>
        </w:rPr>
        <w:t xml:space="preserve"> </w:t>
      </w:r>
      <w:r w:rsidR="00931DCA">
        <w:t xml:space="preserve">was no </w:t>
      </w:r>
      <w:r w:rsidR="00CD73D0">
        <w:t>detriment</w:t>
      </w:r>
      <w:r w:rsidR="00931DCA">
        <w:t xml:space="preserve"> to your rights under the consultation requirements, and that the service is required under the terms of your lease</w:t>
      </w:r>
      <w:r>
        <w:t xml:space="preserve">, they </w:t>
      </w:r>
      <w:r w:rsidR="00931DCA">
        <w:t xml:space="preserve">can </w:t>
      </w:r>
      <w:r>
        <w:t>agree that we don’t have to comply with the Section 20 process, granting us</w:t>
      </w:r>
      <w:r>
        <w:rPr>
          <w:spacing w:val="-3"/>
        </w:rPr>
        <w:t xml:space="preserve"> </w:t>
      </w:r>
      <w:r>
        <w:t>dispensation.</w:t>
      </w:r>
    </w:p>
    <w:p w14:paraId="0AB3DA56" w14:textId="379E5C85" w:rsidR="000247E4" w:rsidRDefault="00790C0C">
      <w:pPr>
        <w:pStyle w:val="BodyText"/>
        <w:spacing w:before="199"/>
        <w:ind w:right="112"/>
        <w:jc w:val="both"/>
      </w:pPr>
      <w:r>
        <w:t>Dispensation can be used in emergency situations.</w:t>
      </w:r>
      <w:r>
        <w:rPr>
          <w:spacing w:val="-12"/>
        </w:rPr>
        <w:t xml:space="preserve"> </w:t>
      </w:r>
      <w:r>
        <w:t>Most</w:t>
      </w:r>
      <w:r>
        <w:rPr>
          <w:spacing w:val="-12"/>
        </w:rPr>
        <w:t xml:space="preserve"> </w:t>
      </w:r>
      <w:r>
        <w:t>organisations</w:t>
      </w:r>
      <w:r>
        <w:rPr>
          <w:spacing w:val="-12"/>
        </w:rPr>
        <w:t xml:space="preserve"> </w:t>
      </w:r>
      <w:r>
        <w:t>like</w:t>
      </w:r>
      <w:r>
        <w:rPr>
          <w:spacing w:val="-13"/>
        </w:rPr>
        <w:t xml:space="preserve"> </w:t>
      </w:r>
      <w:r>
        <w:t>Hyde</w:t>
      </w:r>
      <w:r>
        <w:rPr>
          <w:spacing w:val="-14"/>
        </w:rPr>
        <w:t xml:space="preserve"> </w:t>
      </w:r>
      <w:r>
        <w:t>will</w:t>
      </w:r>
      <w:r>
        <w:rPr>
          <w:spacing w:val="-13"/>
        </w:rPr>
        <w:t xml:space="preserve"> </w:t>
      </w:r>
      <w:r>
        <w:t>only</w:t>
      </w:r>
      <w:r>
        <w:rPr>
          <w:spacing w:val="-12"/>
        </w:rPr>
        <w:t xml:space="preserve"> </w:t>
      </w:r>
      <w:r>
        <w:t>use</w:t>
      </w:r>
      <w:r>
        <w:rPr>
          <w:spacing w:val="-14"/>
        </w:rPr>
        <w:t xml:space="preserve"> </w:t>
      </w:r>
      <w:r>
        <w:t>dispensation</w:t>
      </w:r>
      <w:r w:rsidR="00CD73D0">
        <w:t xml:space="preserve"> where there is an urgent need to ensure a service can be delivered</w:t>
      </w:r>
      <w:r>
        <w:t>.</w:t>
      </w:r>
      <w:r>
        <w:rPr>
          <w:spacing w:val="-15"/>
        </w:rPr>
        <w:t xml:space="preserve"> </w:t>
      </w:r>
      <w:r>
        <w:t>You</w:t>
      </w:r>
      <w:r>
        <w:rPr>
          <w:spacing w:val="-12"/>
        </w:rPr>
        <w:t xml:space="preserve"> </w:t>
      </w:r>
      <w:r>
        <w:t>can</w:t>
      </w:r>
      <w:r>
        <w:rPr>
          <w:spacing w:val="-15"/>
        </w:rPr>
        <w:t xml:space="preserve"> </w:t>
      </w:r>
      <w:r>
        <w:t>read</w:t>
      </w:r>
      <w:r>
        <w:rPr>
          <w:spacing w:val="-15"/>
        </w:rPr>
        <w:t xml:space="preserve"> </w:t>
      </w:r>
      <w:r>
        <w:t>about the Tribunal process on the government’s website:</w:t>
      </w:r>
      <w:r>
        <w:rPr>
          <w:spacing w:val="-8"/>
        </w:rPr>
        <w:t xml:space="preserve"> </w:t>
      </w:r>
      <w:hyperlink r:id="rId8">
        <w:r>
          <w:rPr>
            <w:color w:val="0000FF"/>
            <w:u w:val="single" w:color="0000FF"/>
          </w:rPr>
          <w:t>www.lease-advice.org</w:t>
        </w:r>
      </w:hyperlink>
    </w:p>
    <w:p w14:paraId="0AB3DA57" w14:textId="77777777" w:rsidR="000247E4" w:rsidRDefault="000247E4">
      <w:pPr>
        <w:jc w:val="both"/>
        <w:sectPr w:rsidR="000247E4" w:rsidSect="00ED53E0">
          <w:headerReference w:type="first" r:id="rId9"/>
          <w:footerReference w:type="first" r:id="rId10"/>
          <w:type w:val="continuous"/>
          <w:pgSz w:w="11910" w:h="16840"/>
          <w:pgMar w:top="1340" w:right="1320" w:bottom="280" w:left="1340" w:header="720" w:footer="720" w:gutter="0"/>
          <w:cols w:space="720"/>
          <w:titlePg/>
          <w:docGrid w:linePitch="299"/>
        </w:sectPr>
      </w:pPr>
    </w:p>
    <w:p w14:paraId="0AB3DA58" w14:textId="77777777" w:rsidR="000247E4" w:rsidRDefault="00790C0C">
      <w:pPr>
        <w:pStyle w:val="Heading1"/>
        <w:spacing w:before="64"/>
        <w:jc w:val="both"/>
      </w:pPr>
      <w:r>
        <w:lastRenderedPageBreak/>
        <w:t>Will the Tribunal decide how much my service charges should be?</w:t>
      </w:r>
    </w:p>
    <w:p w14:paraId="0AB3DA59" w14:textId="74358CB6" w:rsidR="000247E4" w:rsidRDefault="00790C0C">
      <w:pPr>
        <w:pStyle w:val="BodyText"/>
        <w:spacing w:before="198"/>
        <w:ind w:right="113"/>
        <w:jc w:val="both"/>
      </w:pPr>
      <w:r>
        <w:t>No.</w:t>
      </w:r>
      <w:r>
        <w:rPr>
          <w:spacing w:val="-9"/>
        </w:rPr>
        <w:t xml:space="preserve"> </w:t>
      </w:r>
      <w:r>
        <w:t>The</w:t>
      </w:r>
      <w:r>
        <w:rPr>
          <w:spacing w:val="-10"/>
        </w:rPr>
        <w:t xml:space="preserve"> </w:t>
      </w:r>
      <w:r>
        <w:t>Tribunal</w:t>
      </w:r>
      <w:r>
        <w:rPr>
          <w:spacing w:val="-10"/>
        </w:rPr>
        <w:t xml:space="preserve"> </w:t>
      </w:r>
      <w:r>
        <w:t>won’t</w:t>
      </w:r>
      <w:r>
        <w:rPr>
          <w:spacing w:val="-8"/>
        </w:rPr>
        <w:t xml:space="preserve"> </w:t>
      </w:r>
      <w:r>
        <w:t>decide</w:t>
      </w:r>
      <w:r>
        <w:rPr>
          <w:spacing w:val="-10"/>
        </w:rPr>
        <w:t xml:space="preserve"> </w:t>
      </w:r>
      <w:r>
        <w:t>if</w:t>
      </w:r>
      <w:r>
        <w:rPr>
          <w:spacing w:val="-9"/>
        </w:rPr>
        <w:t xml:space="preserve"> </w:t>
      </w:r>
      <w:r>
        <w:t>the</w:t>
      </w:r>
      <w:r>
        <w:rPr>
          <w:spacing w:val="-10"/>
        </w:rPr>
        <w:t xml:space="preserve"> </w:t>
      </w:r>
      <w:r>
        <w:t>contracts</w:t>
      </w:r>
      <w:r>
        <w:rPr>
          <w:spacing w:val="-11"/>
        </w:rPr>
        <w:t xml:space="preserve"> </w:t>
      </w:r>
      <w:r>
        <w:t>we</w:t>
      </w:r>
      <w:r>
        <w:rPr>
          <w:spacing w:val="-12"/>
        </w:rPr>
        <w:t xml:space="preserve"> </w:t>
      </w:r>
      <w:r>
        <w:t>award</w:t>
      </w:r>
      <w:r>
        <w:rPr>
          <w:spacing w:val="-8"/>
        </w:rPr>
        <w:t xml:space="preserve"> </w:t>
      </w:r>
      <w:r>
        <w:t>are</w:t>
      </w:r>
      <w:r>
        <w:rPr>
          <w:spacing w:val="-12"/>
        </w:rPr>
        <w:t xml:space="preserve"> </w:t>
      </w:r>
      <w:r>
        <w:t>reasonably</w:t>
      </w:r>
      <w:r>
        <w:rPr>
          <w:spacing w:val="-9"/>
        </w:rPr>
        <w:t xml:space="preserve"> </w:t>
      </w:r>
      <w:r>
        <w:t>priced,</w:t>
      </w:r>
      <w:r>
        <w:rPr>
          <w:spacing w:val="-7"/>
        </w:rPr>
        <w:t xml:space="preserve"> </w:t>
      </w:r>
      <w:r>
        <w:t>and</w:t>
      </w:r>
      <w:r>
        <w:rPr>
          <w:spacing w:val="-12"/>
        </w:rPr>
        <w:t xml:space="preserve"> </w:t>
      </w:r>
      <w:r>
        <w:t>they</w:t>
      </w:r>
      <w:r>
        <w:rPr>
          <w:spacing w:val="-8"/>
        </w:rPr>
        <w:t xml:space="preserve"> </w:t>
      </w:r>
      <w:r>
        <w:t>won’t say that we can or can’t recharge these services to you. The Tribunal will only decide if we could</w:t>
      </w:r>
      <w:r>
        <w:rPr>
          <w:spacing w:val="-14"/>
        </w:rPr>
        <w:t xml:space="preserve"> </w:t>
      </w:r>
      <w:r>
        <w:t>comply</w:t>
      </w:r>
      <w:r>
        <w:rPr>
          <w:spacing w:val="-13"/>
        </w:rPr>
        <w:t xml:space="preserve"> </w:t>
      </w:r>
      <w:r>
        <w:t>with</w:t>
      </w:r>
      <w:r>
        <w:rPr>
          <w:spacing w:val="-18"/>
        </w:rPr>
        <w:t xml:space="preserve"> </w:t>
      </w:r>
      <w:r>
        <w:t>the</w:t>
      </w:r>
      <w:r>
        <w:rPr>
          <w:spacing w:val="-16"/>
        </w:rPr>
        <w:t xml:space="preserve"> </w:t>
      </w:r>
      <w:r>
        <w:t>requirements</w:t>
      </w:r>
      <w:r>
        <w:rPr>
          <w:spacing w:val="-16"/>
        </w:rPr>
        <w:t xml:space="preserve"> </w:t>
      </w:r>
      <w:r>
        <w:t>of</w:t>
      </w:r>
      <w:r>
        <w:rPr>
          <w:spacing w:val="-15"/>
        </w:rPr>
        <w:t xml:space="preserve"> </w:t>
      </w:r>
      <w:r>
        <w:t>Section</w:t>
      </w:r>
      <w:r>
        <w:rPr>
          <w:spacing w:val="-16"/>
        </w:rPr>
        <w:t xml:space="preserve"> </w:t>
      </w:r>
      <w:r>
        <w:t>20</w:t>
      </w:r>
      <w:r>
        <w:rPr>
          <w:spacing w:val="-16"/>
        </w:rPr>
        <w:t xml:space="preserve"> </w:t>
      </w:r>
      <w:r>
        <w:t>or</w:t>
      </w:r>
      <w:r>
        <w:rPr>
          <w:spacing w:val="-13"/>
        </w:rPr>
        <w:t xml:space="preserve"> </w:t>
      </w:r>
      <w:r>
        <w:t>not.</w:t>
      </w:r>
      <w:r>
        <w:rPr>
          <w:spacing w:val="-12"/>
        </w:rPr>
        <w:t xml:space="preserve"> </w:t>
      </w:r>
      <w:r>
        <w:t>Please</w:t>
      </w:r>
      <w:r>
        <w:rPr>
          <w:spacing w:val="-16"/>
        </w:rPr>
        <w:t xml:space="preserve"> </w:t>
      </w:r>
      <w:r>
        <w:t>note</w:t>
      </w:r>
      <w:r>
        <w:rPr>
          <w:spacing w:val="-16"/>
        </w:rPr>
        <w:t xml:space="preserve"> </w:t>
      </w:r>
      <w:r>
        <w:t>that</w:t>
      </w:r>
      <w:r>
        <w:rPr>
          <w:spacing w:val="-12"/>
        </w:rPr>
        <w:t xml:space="preserve"> </w:t>
      </w:r>
      <w:r>
        <w:t>it</w:t>
      </w:r>
      <w:r>
        <w:rPr>
          <w:spacing w:val="-15"/>
        </w:rPr>
        <w:t xml:space="preserve"> </w:t>
      </w:r>
      <w:r>
        <w:t>is</w:t>
      </w:r>
      <w:r>
        <w:rPr>
          <w:spacing w:val="-13"/>
        </w:rPr>
        <w:t xml:space="preserve"> </w:t>
      </w:r>
      <w:r>
        <w:t>our</w:t>
      </w:r>
      <w:r>
        <w:rPr>
          <w:spacing w:val="-15"/>
        </w:rPr>
        <w:t xml:space="preserve"> </w:t>
      </w:r>
      <w:r>
        <w:t xml:space="preserve">responsibility to get the best deal for you. We don’t make any profit from the purchase of </w:t>
      </w:r>
      <w:r w:rsidR="00E8185A">
        <w:t>buildings insurance</w:t>
      </w:r>
      <w:r>
        <w:t>,</w:t>
      </w:r>
      <w:r w:rsidR="00E8185A">
        <w:t xml:space="preserve"> and</w:t>
      </w:r>
      <w:r>
        <w:t xml:space="preserve"> we only recharge what we </w:t>
      </w:r>
      <w:proofErr w:type="gramStart"/>
      <w:r>
        <w:t>have to</w:t>
      </w:r>
      <w:proofErr w:type="gramEnd"/>
      <w:r>
        <w:rPr>
          <w:spacing w:val="-5"/>
        </w:rPr>
        <w:t xml:space="preserve"> </w:t>
      </w:r>
      <w:r>
        <w:t>pay.</w:t>
      </w:r>
    </w:p>
    <w:p w14:paraId="0AB3DA5A" w14:textId="77777777" w:rsidR="000247E4" w:rsidRDefault="00790C0C">
      <w:pPr>
        <w:pStyle w:val="Heading1"/>
        <w:spacing w:before="202"/>
        <w:jc w:val="both"/>
      </w:pPr>
      <w:r>
        <w:t>Will my service charges increase?</w:t>
      </w:r>
    </w:p>
    <w:p w14:paraId="0AB3DA5B" w14:textId="55057AFB" w:rsidR="000247E4" w:rsidRDefault="001D219F">
      <w:pPr>
        <w:pStyle w:val="BodyText"/>
        <w:spacing w:before="198"/>
        <w:ind w:right="166"/>
        <w:rPr>
          <w:b/>
        </w:rPr>
      </w:pPr>
      <w:r>
        <w:t xml:space="preserve">Please refer to your service charge estimates &amp; statements for details around the cost of your </w:t>
      </w:r>
      <w:r w:rsidR="00274D8F">
        <w:t>building’s</w:t>
      </w:r>
      <w:r>
        <w:t xml:space="preserve"> insurance. </w:t>
      </w:r>
    </w:p>
    <w:p w14:paraId="0AB3DA5C" w14:textId="77777777" w:rsidR="000247E4" w:rsidRDefault="000247E4">
      <w:pPr>
        <w:pStyle w:val="BodyText"/>
        <w:spacing w:before="1"/>
        <w:ind w:left="0"/>
        <w:rPr>
          <w:b/>
        </w:rPr>
      </w:pPr>
    </w:p>
    <w:p w14:paraId="0AB3DA5D" w14:textId="0F4C2740" w:rsidR="000247E4" w:rsidRDefault="00790C0C">
      <w:pPr>
        <w:pStyle w:val="Heading1"/>
      </w:pPr>
      <w:r>
        <w:t xml:space="preserve">Is this process going to affect the </w:t>
      </w:r>
      <w:r w:rsidR="00AB4EDC">
        <w:t>validity of my building’s insurance</w:t>
      </w:r>
      <w:r>
        <w:t>, or how I pay?</w:t>
      </w:r>
    </w:p>
    <w:p w14:paraId="0AB3DA5E" w14:textId="6EDF6DFB" w:rsidR="000247E4" w:rsidRDefault="00790C0C">
      <w:pPr>
        <w:pStyle w:val="BodyText"/>
        <w:spacing w:before="199"/>
      </w:pPr>
      <w:r>
        <w:t xml:space="preserve">No. There will be no interruption to </w:t>
      </w:r>
      <w:r w:rsidR="00AB4EDC">
        <w:t>this service</w:t>
      </w:r>
      <w:r>
        <w:t>, and you’ll still pay your service charges in the same way.</w:t>
      </w:r>
    </w:p>
    <w:p w14:paraId="127AD6DC" w14:textId="0D91831B" w:rsidR="00B14F0A" w:rsidRDefault="00790C0C" w:rsidP="00B14F0A">
      <w:pPr>
        <w:pStyle w:val="Heading1"/>
        <w:spacing w:before="190"/>
      </w:pPr>
      <w:r>
        <w:t>What happens next?</w:t>
      </w:r>
    </w:p>
    <w:p w14:paraId="4DDDDDF1" w14:textId="77777777" w:rsidR="00875494" w:rsidRDefault="00875494" w:rsidP="00B14F0A">
      <w:pPr>
        <w:pStyle w:val="Heading1"/>
        <w:spacing w:before="190"/>
      </w:pPr>
    </w:p>
    <w:p w14:paraId="14FA24C1" w14:textId="77777777" w:rsidR="00875494" w:rsidRDefault="00E062BF" w:rsidP="00E062BF">
      <w:pPr>
        <w:pStyle w:val="BodyText"/>
        <w:ind w:right="113"/>
        <w:jc w:val="both"/>
      </w:pPr>
      <w:r>
        <w:t>A</w:t>
      </w:r>
      <w:r w:rsidRPr="00E062BF">
        <w:t xml:space="preserve"> copy of the application (with personal details deleted), statement of case, supporting documents and a copy of these directions will be available</w:t>
      </w:r>
      <w:r>
        <w:t xml:space="preserve"> at</w:t>
      </w:r>
      <w:r w:rsidRPr="00E062BF">
        <w:t xml:space="preserve"> </w:t>
      </w:r>
      <w:hyperlink r:id="rId11">
        <w:r>
          <w:rPr>
            <w:color w:val="0000FF"/>
            <w:u w:val="single" w:color="0000FF"/>
          </w:rPr>
          <w:t>www.hyde-housing.co.uk/buildings-insurance-dispensation</w:t>
        </w:r>
      </w:hyperlink>
      <w:r>
        <w:t xml:space="preserve">. </w:t>
      </w:r>
    </w:p>
    <w:p w14:paraId="2815B6AF" w14:textId="77777777" w:rsidR="00875494" w:rsidRDefault="00875494" w:rsidP="00E062BF">
      <w:pPr>
        <w:pStyle w:val="BodyText"/>
        <w:ind w:right="113"/>
        <w:jc w:val="both"/>
      </w:pPr>
    </w:p>
    <w:p w14:paraId="0AB3DA65" w14:textId="1ABB3018" w:rsidR="000247E4" w:rsidRDefault="00E062BF" w:rsidP="00875494">
      <w:pPr>
        <w:pStyle w:val="BodyText"/>
        <w:ind w:right="113"/>
        <w:jc w:val="both"/>
      </w:pPr>
      <w:r>
        <w:t>A</w:t>
      </w:r>
      <w:r w:rsidRPr="00E062BF">
        <w:t xml:space="preserve">ny response to the application should be made by </w:t>
      </w:r>
      <w:r w:rsidRPr="00E062BF">
        <w:rPr>
          <w:b/>
          <w:bCs/>
        </w:rPr>
        <w:t>4.00 pm</w:t>
      </w:r>
      <w:r>
        <w:rPr>
          <w:b/>
          <w:bCs/>
        </w:rPr>
        <w:t xml:space="preserve"> on </w:t>
      </w:r>
      <w:r w:rsidRPr="00E062BF">
        <w:rPr>
          <w:b/>
          <w:bCs/>
        </w:rPr>
        <w:t>04 October 2024</w:t>
      </w:r>
      <w:r>
        <w:rPr>
          <w:b/>
          <w:bCs/>
        </w:rPr>
        <w:t xml:space="preserve"> </w:t>
      </w:r>
      <w:r w:rsidRPr="00E062BF">
        <w:t>using the reply form attached to the directions</w:t>
      </w:r>
      <w:r>
        <w:rPr>
          <w:b/>
          <w:bCs/>
        </w:rPr>
        <w:t>.</w:t>
      </w:r>
      <w:r w:rsidR="00875494">
        <w:rPr>
          <w:b/>
          <w:bCs/>
        </w:rPr>
        <w:t xml:space="preserve"> </w:t>
      </w:r>
      <w:r w:rsidR="00790C0C">
        <w:t>You don’t have to respond</w:t>
      </w:r>
      <w:r>
        <w:t xml:space="preserve"> if </w:t>
      </w:r>
      <w:r w:rsidR="00790C0C">
        <w:t>you’re happy with our proposal</w:t>
      </w:r>
      <w:r>
        <w:t>;</w:t>
      </w:r>
      <w:r w:rsidR="00790C0C">
        <w:t xml:space="preserve"> you can just keep the documents for your</w:t>
      </w:r>
      <w:r w:rsidR="00790C0C">
        <w:rPr>
          <w:spacing w:val="-4"/>
        </w:rPr>
        <w:t xml:space="preserve"> </w:t>
      </w:r>
      <w:r w:rsidR="00790C0C">
        <w:t>records.</w:t>
      </w:r>
    </w:p>
    <w:p w14:paraId="4652ABF2" w14:textId="77777777" w:rsidR="00E062BF" w:rsidRDefault="00E062BF" w:rsidP="00E062BF">
      <w:pPr>
        <w:pStyle w:val="BodyText"/>
        <w:ind w:left="0" w:right="115"/>
        <w:jc w:val="both"/>
      </w:pPr>
    </w:p>
    <w:p w14:paraId="420D4095" w14:textId="5F6AC563" w:rsidR="00E062BF" w:rsidRDefault="00875494">
      <w:pPr>
        <w:pStyle w:val="BodyText"/>
        <w:ind w:right="115"/>
        <w:jc w:val="both"/>
      </w:pPr>
      <w:r>
        <w:t>A</w:t>
      </w:r>
      <w:r w:rsidR="00E062BF" w:rsidRPr="00E062BF">
        <w:t>s the application progresses additional documents will be added to the website, including the final decision of the tribunal</w:t>
      </w:r>
      <w:r w:rsidR="00E062BF">
        <w:t>. T</w:t>
      </w:r>
      <w:r w:rsidR="00E062BF" w:rsidRPr="00E062BF">
        <w:t xml:space="preserve">he final decision is likely to be uploaded on or after </w:t>
      </w:r>
      <w:r w:rsidR="00E062BF" w:rsidRPr="00E062BF">
        <w:rPr>
          <w:b/>
          <w:bCs/>
        </w:rPr>
        <w:t>04 November 2024</w:t>
      </w:r>
      <w:r w:rsidR="00E062BF" w:rsidRPr="00E062BF">
        <w:t>.</w:t>
      </w:r>
    </w:p>
    <w:p w14:paraId="0AB3DA66" w14:textId="77777777" w:rsidR="000247E4" w:rsidRDefault="000247E4">
      <w:pPr>
        <w:pStyle w:val="BodyText"/>
        <w:ind w:left="0"/>
      </w:pPr>
    </w:p>
    <w:p w14:paraId="0AB3DA67" w14:textId="4E4375FD" w:rsidR="000247E4" w:rsidRDefault="00790C0C">
      <w:pPr>
        <w:pStyle w:val="BodyText"/>
      </w:pPr>
      <w:r>
        <w:t>If you’d like a paper copy of the application, any other documents or to ask any questions about this application please let us know</w:t>
      </w:r>
      <w:r w:rsidR="009915BB">
        <w:t xml:space="preserve"> by raising a case on MyAccount. Further details on how to do this can be found </w:t>
      </w:r>
      <w:r w:rsidR="00C378AF">
        <w:t xml:space="preserve">at </w:t>
      </w:r>
      <w:hyperlink r:id="rId12" w:history="1">
        <w:r w:rsidR="00C378AF" w:rsidRPr="000F001A">
          <w:rPr>
            <w:rStyle w:val="Hyperlink"/>
          </w:rPr>
          <w:t>www.hyde-housing.co.uk/tenants/myaccount</w:t>
        </w:r>
      </w:hyperlink>
      <w:r w:rsidR="00C378AF">
        <w:t xml:space="preserve">. </w:t>
      </w:r>
    </w:p>
    <w:p w14:paraId="0AB3DA6C" w14:textId="77777777" w:rsidR="000247E4" w:rsidRDefault="000247E4">
      <w:pPr>
        <w:pStyle w:val="BodyText"/>
        <w:spacing w:before="1"/>
        <w:ind w:left="0"/>
        <w:rPr>
          <w:sz w:val="14"/>
        </w:rPr>
      </w:pPr>
    </w:p>
    <w:p w14:paraId="0AB3DA6D" w14:textId="39E1D73C" w:rsidR="000247E4" w:rsidRDefault="00790C0C">
      <w:pPr>
        <w:pStyle w:val="BodyText"/>
        <w:spacing w:before="94" w:line="480" w:lineRule="auto"/>
        <w:ind w:right="2429"/>
      </w:pPr>
      <w:r>
        <w:t>Yours sincerely</w:t>
      </w:r>
    </w:p>
    <w:p w14:paraId="1480CE67" w14:textId="77777777" w:rsidR="00C378AF" w:rsidRPr="00FB1D33" w:rsidRDefault="00C378AF" w:rsidP="00FB1D33">
      <w:r w:rsidRPr="00FB1D33">
        <w:t xml:space="preserve"> </w:t>
      </w:r>
      <w:r w:rsidRPr="00FB1D33">
        <w:rPr>
          <w:noProof/>
        </w:rPr>
        <w:drawing>
          <wp:inline distT="0" distB="0" distL="0" distR="0" wp14:anchorId="2C7AF9F2" wp14:editId="04D3790E">
            <wp:extent cx="838200" cy="552450"/>
            <wp:effectExtent l="0" t="0" r="0" b="0"/>
            <wp:docPr id="3" name="Picture 1" descr="A drawing of a person on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drawing of a person on a boat&#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52450"/>
                    </a:xfrm>
                    <a:prstGeom prst="rect">
                      <a:avLst/>
                    </a:prstGeom>
                    <a:noFill/>
                    <a:ln>
                      <a:noFill/>
                    </a:ln>
                  </pic:spPr>
                </pic:pic>
              </a:graphicData>
            </a:graphic>
          </wp:inline>
        </w:drawing>
      </w:r>
    </w:p>
    <w:p w14:paraId="0AB3DA6E" w14:textId="09EE42AE" w:rsidR="000247E4" w:rsidRDefault="00C378AF">
      <w:pPr>
        <w:pStyle w:val="BodyText"/>
        <w:spacing w:before="1"/>
        <w:ind w:left="0"/>
        <w:rPr>
          <w:sz w:val="20"/>
        </w:rPr>
      </w:pPr>
      <w:r>
        <w:rPr>
          <w:sz w:val="20"/>
        </w:rPr>
        <w:t xml:space="preserve"> </w:t>
      </w:r>
    </w:p>
    <w:p w14:paraId="0AB3DA6F" w14:textId="52504EFB" w:rsidR="000247E4" w:rsidRDefault="00C378AF">
      <w:pPr>
        <w:pStyle w:val="Heading1"/>
      </w:pPr>
      <w:r>
        <w:t>Joe Pyner</w:t>
      </w:r>
    </w:p>
    <w:p w14:paraId="0AB3DA70" w14:textId="16B80CC8" w:rsidR="000247E4" w:rsidRDefault="00C378AF">
      <w:pPr>
        <w:spacing w:before="2"/>
        <w:ind w:left="100"/>
        <w:rPr>
          <w:b/>
        </w:rPr>
      </w:pPr>
      <w:r>
        <w:rPr>
          <w:b/>
        </w:rPr>
        <w:t>Service Charge Manager</w:t>
      </w:r>
    </w:p>
    <w:sectPr w:rsidR="000247E4">
      <w:pgSz w:w="11910" w:h="16840"/>
      <w:pgMar w:top="13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0B159" w14:textId="77777777" w:rsidR="00713A98" w:rsidRDefault="00713A98" w:rsidP="00ED53E0">
      <w:r>
        <w:separator/>
      </w:r>
    </w:p>
  </w:endnote>
  <w:endnote w:type="continuationSeparator" w:id="0">
    <w:p w14:paraId="262B7228" w14:textId="77777777" w:rsidR="00713A98" w:rsidRDefault="00713A98" w:rsidP="00ED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06BC7" w14:textId="06D0A77E" w:rsidR="00ED53E0" w:rsidRDefault="00B14F63" w:rsidP="00B14F63">
    <w:pPr>
      <w:pStyle w:val="Footer"/>
      <w:tabs>
        <w:tab w:val="clear" w:pos="4513"/>
        <w:tab w:val="clear" w:pos="9026"/>
        <w:tab w:val="left" w:pos="1530"/>
      </w:tabs>
    </w:pPr>
    <w:r>
      <w:rPr>
        <w:noProof/>
      </w:rPr>
      <w:drawing>
        <wp:anchor distT="0" distB="0" distL="114300" distR="114300" simplePos="0" relativeHeight="251662848" behindDoc="1" locked="0" layoutInCell="1" allowOverlap="1" wp14:anchorId="225B3CE9" wp14:editId="4B087A80">
          <wp:simplePos x="0" y="0"/>
          <wp:positionH relativeFrom="page">
            <wp:posOffset>-38100</wp:posOffset>
          </wp:positionH>
          <wp:positionV relativeFrom="bottomMargin">
            <wp:posOffset>-407670</wp:posOffset>
          </wp:positionV>
          <wp:extent cx="7549631" cy="1257257"/>
          <wp:effectExtent l="0" t="0" r="0" b="0"/>
          <wp:wrapNone/>
          <wp:docPr id="1" name="Picture 1" descr="A black background with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orang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9631" cy="1257257"/>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C6C40" w14:textId="77777777" w:rsidR="00713A98" w:rsidRDefault="00713A98" w:rsidP="00ED53E0">
      <w:r>
        <w:separator/>
      </w:r>
    </w:p>
  </w:footnote>
  <w:footnote w:type="continuationSeparator" w:id="0">
    <w:p w14:paraId="67DD1E01" w14:textId="77777777" w:rsidR="00713A98" w:rsidRDefault="00713A98" w:rsidP="00ED5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1461" w14:textId="068FF7C8" w:rsidR="00ED53E0" w:rsidRDefault="00ED53E0">
    <w:pPr>
      <w:pStyle w:val="Header"/>
    </w:pPr>
    <w:r>
      <w:rPr>
        <w:noProof/>
      </w:rPr>
      <w:drawing>
        <wp:anchor distT="0" distB="0" distL="114300" distR="114300" simplePos="0" relativeHeight="251658752" behindDoc="1" locked="0" layoutInCell="1" allowOverlap="1" wp14:anchorId="5C216D5A" wp14:editId="186B76FF">
          <wp:simplePos x="0" y="0"/>
          <wp:positionH relativeFrom="page">
            <wp:posOffset>850900</wp:posOffset>
          </wp:positionH>
          <wp:positionV relativeFrom="page">
            <wp:posOffset>238125</wp:posOffset>
          </wp:positionV>
          <wp:extent cx="1513080" cy="611640"/>
          <wp:effectExtent l="0" t="0" r="0" b="0"/>
          <wp:wrapNone/>
          <wp:docPr id="628423921" name="Picture 628423921" descr="A blue letter and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41479" name="Picture 773341479" descr="A blue letter and black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080" cy="611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820BC"/>
    <w:multiLevelType w:val="hybridMultilevel"/>
    <w:tmpl w:val="26D89CC4"/>
    <w:lvl w:ilvl="0" w:tplc="B62E75C4">
      <w:numFmt w:val="bullet"/>
      <w:lvlText w:val=""/>
      <w:lvlJc w:val="left"/>
      <w:pPr>
        <w:ind w:left="820" w:hanging="360"/>
      </w:pPr>
      <w:rPr>
        <w:rFonts w:ascii="Symbol" w:eastAsia="Symbol" w:hAnsi="Symbol" w:cs="Symbol" w:hint="default"/>
        <w:w w:val="100"/>
        <w:sz w:val="22"/>
        <w:szCs w:val="22"/>
        <w:lang w:val="en-GB" w:eastAsia="en-GB" w:bidi="en-GB"/>
      </w:rPr>
    </w:lvl>
    <w:lvl w:ilvl="1" w:tplc="4E0ED688">
      <w:numFmt w:val="bullet"/>
      <w:lvlText w:val="•"/>
      <w:lvlJc w:val="left"/>
      <w:pPr>
        <w:ind w:left="1662" w:hanging="360"/>
      </w:pPr>
      <w:rPr>
        <w:rFonts w:hint="default"/>
        <w:lang w:val="en-GB" w:eastAsia="en-GB" w:bidi="en-GB"/>
      </w:rPr>
    </w:lvl>
    <w:lvl w:ilvl="2" w:tplc="9C7CBAA2">
      <w:numFmt w:val="bullet"/>
      <w:lvlText w:val="•"/>
      <w:lvlJc w:val="left"/>
      <w:pPr>
        <w:ind w:left="2505" w:hanging="360"/>
      </w:pPr>
      <w:rPr>
        <w:rFonts w:hint="default"/>
        <w:lang w:val="en-GB" w:eastAsia="en-GB" w:bidi="en-GB"/>
      </w:rPr>
    </w:lvl>
    <w:lvl w:ilvl="3" w:tplc="72DAA8BC">
      <w:numFmt w:val="bullet"/>
      <w:lvlText w:val="•"/>
      <w:lvlJc w:val="left"/>
      <w:pPr>
        <w:ind w:left="3347" w:hanging="360"/>
      </w:pPr>
      <w:rPr>
        <w:rFonts w:hint="default"/>
        <w:lang w:val="en-GB" w:eastAsia="en-GB" w:bidi="en-GB"/>
      </w:rPr>
    </w:lvl>
    <w:lvl w:ilvl="4" w:tplc="AA5C0FC6">
      <w:numFmt w:val="bullet"/>
      <w:lvlText w:val="•"/>
      <w:lvlJc w:val="left"/>
      <w:pPr>
        <w:ind w:left="4190" w:hanging="360"/>
      </w:pPr>
      <w:rPr>
        <w:rFonts w:hint="default"/>
        <w:lang w:val="en-GB" w:eastAsia="en-GB" w:bidi="en-GB"/>
      </w:rPr>
    </w:lvl>
    <w:lvl w:ilvl="5" w:tplc="7BB078C0">
      <w:numFmt w:val="bullet"/>
      <w:lvlText w:val="•"/>
      <w:lvlJc w:val="left"/>
      <w:pPr>
        <w:ind w:left="5033" w:hanging="360"/>
      </w:pPr>
      <w:rPr>
        <w:rFonts w:hint="default"/>
        <w:lang w:val="en-GB" w:eastAsia="en-GB" w:bidi="en-GB"/>
      </w:rPr>
    </w:lvl>
    <w:lvl w:ilvl="6" w:tplc="FB64BB3C">
      <w:numFmt w:val="bullet"/>
      <w:lvlText w:val="•"/>
      <w:lvlJc w:val="left"/>
      <w:pPr>
        <w:ind w:left="5875" w:hanging="360"/>
      </w:pPr>
      <w:rPr>
        <w:rFonts w:hint="default"/>
        <w:lang w:val="en-GB" w:eastAsia="en-GB" w:bidi="en-GB"/>
      </w:rPr>
    </w:lvl>
    <w:lvl w:ilvl="7" w:tplc="643CC75A">
      <w:numFmt w:val="bullet"/>
      <w:lvlText w:val="•"/>
      <w:lvlJc w:val="left"/>
      <w:pPr>
        <w:ind w:left="6718" w:hanging="360"/>
      </w:pPr>
      <w:rPr>
        <w:rFonts w:hint="default"/>
        <w:lang w:val="en-GB" w:eastAsia="en-GB" w:bidi="en-GB"/>
      </w:rPr>
    </w:lvl>
    <w:lvl w:ilvl="8" w:tplc="58D2FF16">
      <w:numFmt w:val="bullet"/>
      <w:lvlText w:val="•"/>
      <w:lvlJc w:val="left"/>
      <w:pPr>
        <w:ind w:left="7561" w:hanging="360"/>
      </w:pPr>
      <w:rPr>
        <w:rFonts w:hint="default"/>
        <w:lang w:val="en-GB" w:eastAsia="en-GB" w:bidi="en-GB"/>
      </w:rPr>
    </w:lvl>
  </w:abstractNum>
  <w:num w:numId="1" w16cid:durableId="82787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247E4"/>
    <w:rsid w:val="00022D1C"/>
    <w:rsid w:val="000247E4"/>
    <w:rsid w:val="000370FB"/>
    <w:rsid w:val="001473A2"/>
    <w:rsid w:val="001B461F"/>
    <w:rsid w:val="001D0E21"/>
    <w:rsid w:val="001D219F"/>
    <w:rsid w:val="00274D8F"/>
    <w:rsid w:val="002C497C"/>
    <w:rsid w:val="003A5613"/>
    <w:rsid w:val="003F3C14"/>
    <w:rsid w:val="004D2FB7"/>
    <w:rsid w:val="00603F82"/>
    <w:rsid w:val="00713A98"/>
    <w:rsid w:val="007237B5"/>
    <w:rsid w:val="007704FD"/>
    <w:rsid w:val="00790C0C"/>
    <w:rsid w:val="007B6275"/>
    <w:rsid w:val="00836063"/>
    <w:rsid w:val="00875494"/>
    <w:rsid w:val="00885217"/>
    <w:rsid w:val="00931DCA"/>
    <w:rsid w:val="00967164"/>
    <w:rsid w:val="009915BB"/>
    <w:rsid w:val="00996833"/>
    <w:rsid w:val="00AB4EDC"/>
    <w:rsid w:val="00B14F0A"/>
    <w:rsid w:val="00B14F63"/>
    <w:rsid w:val="00B67E5F"/>
    <w:rsid w:val="00BB4BEA"/>
    <w:rsid w:val="00C378AF"/>
    <w:rsid w:val="00CD73D0"/>
    <w:rsid w:val="00D27E4D"/>
    <w:rsid w:val="00D5011A"/>
    <w:rsid w:val="00DC6D4A"/>
    <w:rsid w:val="00E062BF"/>
    <w:rsid w:val="00E33ED5"/>
    <w:rsid w:val="00E8185A"/>
    <w:rsid w:val="00ED53E0"/>
    <w:rsid w:val="00FF0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B3DA42"/>
  <w15:docId w15:val="{7E5282BD-71F9-4993-AB9C-840B3E8C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spacing w:before="1"/>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237B5"/>
    <w:rPr>
      <w:color w:val="0000FF" w:themeColor="hyperlink"/>
      <w:u w:val="single"/>
    </w:rPr>
  </w:style>
  <w:style w:type="character" w:styleId="UnresolvedMention">
    <w:name w:val="Unresolved Mention"/>
    <w:basedOn w:val="DefaultParagraphFont"/>
    <w:uiPriority w:val="99"/>
    <w:semiHidden/>
    <w:unhideWhenUsed/>
    <w:rsid w:val="007237B5"/>
    <w:rPr>
      <w:color w:val="605E5C"/>
      <w:shd w:val="clear" w:color="auto" w:fill="E1DFDD"/>
    </w:rPr>
  </w:style>
  <w:style w:type="paragraph" w:styleId="Header">
    <w:name w:val="header"/>
    <w:basedOn w:val="Normal"/>
    <w:link w:val="HeaderChar"/>
    <w:uiPriority w:val="99"/>
    <w:unhideWhenUsed/>
    <w:rsid w:val="00ED53E0"/>
    <w:pPr>
      <w:tabs>
        <w:tab w:val="center" w:pos="4513"/>
        <w:tab w:val="right" w:pos="9026"/>
      </w:tabs>
    </w:pPr>
  </w:style>
  <w:style w:type="character" w:customStyle="1" w:styleId="HeaderChar">
    <w:name w:val="Header Char"/>
    <w:basedOn w:val="DefaultParagraphFont"/>
    <w:link w:val="Header"/>
    <w:uiPriority w:val="99"/>
    <w:rsid w:val="00ED53E0"/>
    <w:rPr>
      <w:rFonts w:ascii="Arial" w:eastAsia="Arial" w:hAnsi="Arial" w:cs="Arial"/>
      <w:lang w:val="en-GB" w:eastAsia="en-GB" w:bidi="en-GB"/>
    </w:rPr>
  </w:style>
  <w:style w:type="paragraph" w:styleId="Footer">
    <w:name w:val="footer"/>
    <w:basedOn w:val="Normal"/>
    <w:link w:val="FooterChar"/>
    <w:uiPriority w:val="99"/>
    <w:unhideWhenUsed/>
    <w:rsid w:val="00ED53E0"/>
    <w:pPr>
      <w:tabs>
        <w:tab w:val="center" w:pos="4513"/>
        <w:tab w:val="right" w:pos="9026"/>
      </w:tabs>
    </w:pPr>
  </w:style>
  <w:style w:type="character" w:customStyle="1" w:styleId="FooterChar">
    <w:name w:val="Footer Char"/>
    <w:basedOn w:val="DefaultParagraphFont"/>
    <w:link w:val="Footer"/>
    <w:uiPriority w:val="99"/>
    <w:rsid w:val="00ED53E0"/>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lease-advice.org/topics/?topic=application-to-the-first-tier-tribunal-property-chamber"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eur03.safelinks.protection.outlook.com/?url=https%3A%2F%2Fwww.hyde-housing.co.uk%2Fqualifying-works%2F&amp;data=05%7C01%7Cbuildingsafetyframework%40hyde-housing.co.uk%7C20d5c3dadc5a4b51312808da632d819c%7C86819931fb92466f8ad749b48fb5a50d%7C0%7C0%7C637931344333458333%7CUnknown%7CTWFpbGZsb3d8eyJWIjoiMC4wLjAwMDAiLCJQIjoiV2luMzIiLCJBTiI6Ik1haWwiLCJXVCI6Mn0%3D%7C3000%7C%7C%7C&amp;sdata=wuejI9N9HA%2B4JWiCvAiI%2F%2F81e%2Bzwv2wnenYrI6IKsBk%3D&amp;reserved=0" TargetMode="External"/><Relationship Id="rId12" Type="http://schemas.openxmlformats.org/officeDocument/2006/relationships/hyperlink" Target="http://www.hyde-housing.co.uk/tenants/myaccou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www.hyde-housing.co.uk%2Fenergy-dispensation%2F&amp;data=05%7C01%7Ckaterina.birkeland%40hyde-housing.co.uk%7C41f0c883445047c242cf08daed9ca644%7C86819931fb92466f8ad749b48fb5a50d%7C0%7C0%7C638083554297831741%7CUnknown%7CTWFpbGZsb3d8eyJWIjoiMC4wLjAwMDAiLCJQIjoiV2luMzIiLCJBTiI6Ik1haWwiLCJXVCI6Mn0%3D%7C3000%7C%7C%7C&amp;sdata=n7fVm%2F73JIcpMMeGhWCbKEsy7wlaw4plkluIMdwrWkk%3D&amp;reserve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The Hyde Group</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LS16</dc:creator>
  <cp:lastModifiedBy>Joe Pyner</cp:lastModifiedBy>
  <cp:revision>5</cp:revision>
  <cp:lastPrinted>2024-06-25T12:17:00Z</cp:lastPrinted>
  <dcterms:created xsi:type="dcterms:W3CDTF">2024-08-19T10:18:00Z</dcterms:created>
  <dcterms:modified xsi:type="dcterms:W3CDTF">2024-08-21T07:53:00Z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for Microsoft 365</vt:lpwstr>
  </property>
  <property fmtid="{D5CDD505-2E9C-101B-9397-08002B2CF9AE}" pid="4" name="LastSaved">
    <vt:filetime>2024-06-21T00:00:00Z</vt:filetime>
  </property>
</Properties>
</file>